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rPr>
          <w:sz w:val="28"/>
        </w:rPr>
        <w:t>ПЕРЕЧЕНЬ</w:t>
      </w:r>
    </w:p>
    <w:p>
      <w:pPr>
        <w:pStyle w:val=""/>
        <w:jc w:val="center"/>
      </w:pPr>
      <w:r>
        <w:rPr>
          <w:b/>
          <w:sz w:val="28"/>
        </w:rPr>
        <w:t xml:space="preserve">номенклатуры и количество экспонатов (образцов продукции гражданского назначения, товаров народного потребления), демонстрируемых </w:t>
      </w:r>
      <w:r>
        <w:rPr>
          <w:b/>
          <w:color w:val="FF0000"/>
          <w:sz w:val="28"/>
        </w:rPr>
        <w:t>НАЗВАНИЕ КОМПАНИИ, ГОРОД</w:t>
      </w:r>
      <w:r>
        <w:rPr>
          <w:b/>
          <w:sz w:val="28"/>
        </w:rPr>
        <w:t xml:space="preserve"> на </w:t>
      </w:r>
    </w:p>
    <w:p>
      <w:pPr>
        <w:pStyle w:val=""/>
        <w:jc w:val="center"/>
      </w:pPr>
      <w:r>
        <w:rPr>
          <w:b/>
          <w:sz w:val="28"/>
        </w:rPr>
        <w:t>X</w:t>
      </w:r>
      <w:r>
        <w:rPr>
          <w:b/>
          <w:sz w:val="28"/>
        </w:rPr>
        <w:t>V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Международной выставке вертолетной индустрии </w:t>
      </w:r>
      <w:r>
        <w:rPr>
          <w:b/>
          <w:sz w:val="28"/>
        </w:rPr>
        <w:t>HeliRussia</w:t>
      </w:r>
      <w:r>
        <w:rPr>
          <w:b/>
          <w:sz w:val="28"/>
        </w:rPr>
        <w:t xml:space="preserve"> 20</w:t>
      </w:r>
      <w:r>
        <w:rPr>
          <w:b/>
          <w:sz w:val="28"/>
        </w:rPr>
        <w:t>2</w:t>
      </w:r>
      <w:r>
        <w:rPr>
          <w:b/>
          <w:sz w:val="28"/>
        </w:rPr>
        <w:t>2</w:t>
      </w:r>
      <w:r>
        <w:rPr>
          <w:b/>
          <w:sz w:val="28"/>
        </w:rPr>
        <w:t xml:space="preserve"> </w:t>
      </w:r>
    </w:p>
    <w:p>
      <w:pPr>
        <w:pStyle w:val=""/>
        <w:jc w:val="center"/>
        <w:rPr>
          <w:b/>
          <w:sz w:val="24"/>
        </w:rPr>
      </w:pPr>
      <w:r>
        <w:rPr>
          <w:b/>
          <w:sz w:val="28"/>
        </w:rPr>
        <w:t xml:space="preserve">(Россия, г. Москва, МВЦ «Крокус Экспо», </w:t>
      </w:r>
      <w:r>
        <w:rPr>
          <w:b/>
          <w:sz w:val="28"/>
        </w:rPr>
        <w:t>19</w:t>
      </w:r>
      <w:r>
        <w:rPr>
          <w:b/>
          <w:sz w:val="28"/>
        </w:rPr>
        <w:t>-</w:t>
      </w:r>
      <w:r>
        <w:rPr>
          <w:b/>
          <w:sz w:val="28"/>
        </w:rPr>
        <w:t>2</w:t>
      </w:r>
      <w:r>
        <w:rPr>
          <w:b/>
          <w:sz w:val="28"/>
        </w:rPr>
        <w:t>1</w:t>
      </w:r>
      <w:r>
        <w:rPr>
          <w:b/>
          <w:sz w:val="28"/>
        </w:rPr>
        <w:t xml:space="preserve"> мая 20</w:t>
      </w:r>
      <w:r>
        <w:rPr>
          <w:b/>
          <w:sz w:val="28"/>
        </w:rPr>
        <w:t>2</w:t>
      </w:r>
      <w:r>
        <w:rPr>
          <w:b/>
          <w:sz w:val="28"/>
        </w:rPr>
        <w:t>2</w:t>
      </w:r>
      <w:r>
        <w:rPr>
          <w:b/>
          <w:sz w:val="28"/>
        </w:rPr>
        <w:t xml:space="preserve"> г.)</w:t>
      </w:r>
    </w:p>
    <w:p>
      <w:pPr>
        <w:pStyle w:val=""/>
        <w:jc w:val="center"/>
        <w:rPr>
          <w:b/>
          <w:sz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Обычнаятаблица"/>
        <w:tblLook w:val="1E0"/>
        <w:tblW w:w="0" w:type="auto"/>
      </w:tblPr>
      <w:tblGrid>
        <w:gridCol w:w="675"/>
        <w:gridCol w:w="5812"/>
        <w:gridCol w:w="1559"/>
        <w:gridCol w:w="1276"/>
        <w:gridCol w:w="2410"/>
        <w:gridCol w:w="2977"/>
      </w:tblGrid>
      <w:tr>
        <w:tc>
          <w:tcPr>
            <w:vAlign w:val="top"/>
            <w:tcW w:w="675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№№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vAlign w:val="top"/>
            <w:tcW w:w="5812" w:type="dxa"/>
          </w:tcPr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</w:pPr>
            <w:r>
              <w:rPr>
                <w:sz w:val="24"/>
              </w:rPr>
              <w:t>Наименование экспоната (образца)</w:t>
            </w:r>
          </w:p>
        </w:tc>
        <w:tc>
          <w:tcPr>
            <w:vAlign w:val="top"/>
            <w:tcW w:w="1559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Единица изм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рения  </w:t>
            </w: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Кол-во</w:t>
            </w:r>
          </w:p>
        </w:tc>
        <w:tc>
          <w:tcPr>
            <w:vAlign w:val="top"/>
            <w:tcW w:w="241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 xml:space="preserve">Вид 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эксп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ната</w:t>
            </w:r>
          </w:p>
        </w:tc>
        <w:tc>
          <w:tcPr>
            <w:vAlign w:val="top"/>
            <w:tcW w:w="2977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Примечание</w:t>
            </w:r>
          </w:p>
        </w:tc>
      </w:tr>
      <w:tr>
        <w:tc>
          <w:tcPr>
            <w:vAlign w:val="top"/>
            <w:tcW w:w="675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vAlign w:val="top"/>
            <w:tcW w:w="5812" w:type="dxa"/>
          </w:tcPr>
          <w:p>
            <w:pPr>
              <w:pStyle w:val=""/>
            </w:pPr>
            <w:r>
              <w:rPr>
                <w:sz w:val="24"/>
              </w:rPr>
              <w:t>Высотомер электронный</w:t>
            </w:r>
            <w:r>
              <w:rPr>
                <w:sz w:val="24"/>
              </w:rPr>
              <w:t xml:space="preserve"> авс-203</w:t>
            </w:r>
          </w:p>
        </w:tc>
        <w:tc>
          <w:tcPr>
            <w:vAlign w:val="top"/>
            <w:tcW w:w="1559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Ш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.</w:t>
            </w: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vAlign w:val="top"/>
            <w:tcW w:w="241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Натурный образец</w:t>
            </w:r>
          </w:p>
        </w:tc>
        <w:tc>
          <w:tcPr>
            <w:vAlign w:val="top"/>
            <w:tcW w:w="2977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Ил-76</w:t>
            </w:r>
          </w:p>
        </w:tc>
      </w:tr>
      <w:tr>
        <w:tc>
          <w:tcPr>
            <w:vAlign w:val="top"/>
            <w:tcW w:w="675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vAlign w:val="top"/>
            <w:tcW w:w="5812" w:type="dxa"/>
          </w:tcPr>
          <w:p>
            <w:pPr>
              <w:pStyle w:val=""/>
            </w:pPr>
            <w:r>
              <w:rPr>
                <w:sz w:val="24"/>
                <w:szCs w:val="24"/>
              </w:rPr>
              <w:t xml:space="preserve">Приёмник-преобразователь воздушных данных </w:t>
            </w:r>
            <w:r>
              <w:rPr>
                <w:sz w:val="24"/>
                <w:szCs w:val="24"/>
              </w:rPr>
              <w:t>АВС1</w:t>
            </w:r>
          </w:p>
        </w:tc>
        <w:tc>
          <w:tcPr>
            <w:vAlign w:val="top"/>
            <w:tcW w:w="1559" w:type="dxa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vAlign w:val="top"/>
            <w:tcW w:w="2410" w:type="dxa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Макет</w:t>
            </w:r>
          </w:p>
        </w:tc>
        <w:tc>
          <w:tcPr>
            <w:vAlign w:val="top"/>
            <w:tcW w:w="2977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Для вертолетов Ми-8</w:t>
            </w:r>
          </w:p>
        </w:tc>
      </w:tr>
      <w:tr>
        <w:tc>
          <w:tcPr>
            <w:vAlign w:val="top"/>
            <w:tcW w:w="675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val="single" w:sz="4" w:color="000000" w:space="0"/>
            </w:tcBorders>
            <w:vAlign w:val="top"/>
            <w:tcW w:w="5812" w:type="dxa"/>
          </w:tcPr>
          <w:p>
            <w:pPr>
              <w:pStyle w:val=""/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осадочный индикатор</w:t>
            </w:r>
            <w:r>
              <w:rPr>
                <w:sz w:val="24"/>
              </w:rPr>
              <w:t xml:space="preserve"> АВС123</w:t>
            </w:r>
          </w:p>
        </w:tc>
        <w:tc>
          <w:tcPr>
            <w:vAlign w:val="top"/>
            <w:tcW w:w="1559" w:type="dxa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vAlign w:val="top"/>
            <w:tcW w:w="241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 xml:space="preserve">Листовка </w:t>
            </w:r>
          </w:p>
        </w:tc>
        <w:tc>
          <w:tcPr>
            <w:vAlign w:val="top"/>
            <w:tcW w:w="2977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67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5812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4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977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67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5812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4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977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67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5812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4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977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67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5812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4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977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67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5812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410" w:type="dxa"/>
          </w:tcPr>
          <w:p>
            <w:pPr>
              <w:pStyle w:val=""/>
            </w:pPr>
          </w:p>
        </w:tc>
        <w:tc>
          <w:tcPr>
            <w:vAlign w:val="top"/>
            <w:tcW w:w="2977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67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5812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4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977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</w:pPr>
    </w:p>
    <w:p>
      <w:pPr>
        <w:pStyle w:val=""/>
        <w:jc w:val="center"/>
        <w:ind w:firstLine="720"/>
      </w:pPr>
      <w:r>
        <w:rPr>
          <w:sz w:val="24"/>
        </w:rPr>
        <w:t>Экспонент гарантирует, что данный перечень не содержит образцов военной техники.</w:t>
      </w:r>
    </w:p>
    <w:p>
      <w:pPr>
        <w:pStyle w:val=""/>
        <w:jc w:val="center"/>
        <w:ind w:firstLine="720"/>
        <w:rPr>
          <w:sz w:val="24"/>
        </w:rPr>
      </w:pPr>
    </w:p>
    <w:p>
      <w:pPr>
        <w:pStyle w:val=""/>
        <w:jc w:val="center"/>
        <w:ind w:firstLine="720"/>
        <w:rPr>
          <w:sz w:val="24"/>
        </w:rPr>
      </w:pPr>
    </w:p>
    <w:p>
      <w:pPr>
        <w:pStyle w:val=""/>
        <w:ind w:firstLine="720"/>
        <w:rPr>
          <w:sz w:val="24"/>
        </w:rPr>
      </w:pPr>
    </w:p>
    <w:p>
      <w:pPr>
        <w:pStyle w:val=""/>
        <w:jc w:val="center"/>
        <w:ind w:firstLine="720"/>
        <w:rPr>
          <w:sz w:val="24"/>
        </w:rPr>
      </w:pPr>
      <w:r>
        <w:rPr>
          <w:sz w:val="24"/>
        </w:rPr>
        <w:t>Подпись руководителя</w:t>
      </w:r>
      <w:r>
        <w:rPr>
          <w:sz w:val="24"/>
        </w:rPr>
        <w:t xml:space="preserve">    </w:t>
      </w:r>
      <w:r>
        <w:rPr>
          <w:u w:val="single"/>
          <w:sz w:val="24"/>
        </w:rPr>
        <w:t xml:space="preserve">                                   </w:t>
      </w:r>
      <w:r>
        <w:rPr>
          <w:u w:val="single"/>
          <w:sz w:val="24"/>
        </w:rPr>
        <w:t xml:space="preserve">                               </w:t>
      </w:r>
      <w:r>
        <w:rPr>
          <w:sz w:val="24"/>
        </w:rPr>
        <w:t xml:space="preserve">         </w:t>
      </w:r>
      <w:r>
        <w:rPr>
          <w:sz w:val="24"/>
        </w:rPr>
        <w:t>Дата</w:t>
      </w:r>
      <w:r>
        <w:rPr>
          <w:sz w:val="24"/>
        </w:rPr>
        <w:t xml:space="preserve"> </w:t>
      </w:r>
      <w:r>
        <w:rPr>
          <w:sz w:val="24"/>
        </w:rPr>
        <w:t xml:space="preserve"> «       »                         20</w:t>
      </w:r>
      <w:r>
        <w:rPr>
          <w:sz w:val="24"/>
        </w:rPr>
        <w:t>2</w:t>
      </w:r>
      <w:r>
        <w:rPr>
          <w:sz w:val="24"/>
        </w:rPr>
        <w:t>2</w:t>
      </w:r>
      <w:r>
        <w:rPr>
          <w:sz w:val="24"/>
        </w:rPr>
        <w:t xml:space="preserve"> года</w:t>
      </w:r>
    </w:p>
    <w:p>
      <w:pPr>
        <w:pStyle w:val=""/>
        <w:rPr>
          <w:sz w:val="24"/>
        </w:rPr>
      </w:pP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sz w:val="24"/>
        </w:rPr>
        <w:t>М.П.</w:t>
      </w:r>
    </w:p>
    <w:p>
      <w:pPr>
        <w:pStyle w:val=""/>
        <w:rPr>
          <w:sz w:val="24"/>
        </w:rPr>
      </w:pPr>
    </w:p>
    <w:p>
      <w:pPr>
        <w:pStyle w:val=""/>
        <w:rPr>
          <w:sz w:val="24"/>
        </w:rPr>
      </w:pPr>
    </w:p>
    <w:p>
      <w:pPr>
        <w:pStyle w:val=""/>
        <w:rPr>
          <w:sz w:val="24"/>
        </w:rPr>
      </w:pPr>
    </w:p>
    <w:p>
      <w:pPr>
        <w:pStyle w:val=""/>
        <w:rPr>
          <w:sz w:val="24"/>
        </w:rPr>
      </w:pPr>
    </w:p>
    <w:p>
      <w:pPr>
        <w:pStyle w:val=""/>
        <w:rPr>
          <w:sz w:val="24"/>
        </w:rPr>
      </w:pPr>
    </w:p>
    <w:p>
      <w:pPr>
        <w:pStyle w:val=""/>
      </w:pPr>
      <w:r>
        <w:rPr>
          <w:i/>
        </w:rPr>
        <w:t>* Канцелярские и офисные принадлежности, а также электронные приборы, мебель для оборудования стенда не являются экспонатами</w:t>
      </w:r>
    </w:p>
    <w:sectPr>
      <w:pgSz w:w="16840" w:h="11907" w:orient="landscape"/>
      <w:pgMar w:left="907" w:right="907" w:top="1021" w:bottom="90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ourier New"/>
  <w:font w:name="Wingdings"/>
  <w:font w:name="Cambria Math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94967069">
    <w:multiLevelType w:val="hybridMultilevel"/>
    <w:lvl w:ilvl="0">
      <w:numFmt w:val="bullet"/>
      <w:lvlText w:val=""/>
      <w:start w:val="0"/>
      <w:lvlJc w:val="left"/>
      <w:pPr>
        <w:ind w:left="0"/>
        <w:ind w:firstLine="0"/>
      </w:pPr>
      <w:rPr>
        <w:rFonts w:ascii="Symbol" w:hAnsi="Symbol"/>
      </w:rPr>
    </w:lvl>
    <w:lvl w:ilvl="1">
      <w:numFmt w:val="bullet"/>
      <w:lvlText w:val=""/>
      <w:start w:val="0"/>
      <w:lvlJc w:val="left"/>
      <w:pPr>
        <w:ind w:left="1080"/>
        <w:ind w:hanging="360"/>
      </w:pPr>
      <w:rPr>
        <w:rFonts w:ascii="Symbol" w:hAnsi="Symbol"/>
      </w:rPr>
    </w:lvl>
    <w:lvl w:ilvl="2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3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4">
      <w:numFmt w:val="bullet"/>
      <w:lvlText w:val=""/>
      <w:start w:val="0"/>
      <w:lvlJc w:val="left"/>
      <w:pPr>
        <w:ind w:left="3240"/>
        <w:ind w:hanging="360"/>
      </w:pPr>
      <w:rPr>
        <w:rFonts w:ascii="Wingdings" w:hAnsi="Wingdings"/>
      </w:rPr>
    </w:lvl>
    <w:lvl w:ilvl="5">
      <w:numFmt w:val="bullet"/>
      <w:lvlText w:val=""/>
      <w:start w:val="0"/>
      <w:lvlJc w:val="left"/>
      <w:pPr>
        <w:ind w:left="3960"/>
        <w:ind w:hanging="360"/>
      </w:pPr>
      <w:rPr>
        <w:rFonts w:ascii="Symbol" w:hAnsi="Symbol"/>
      </w:rPr>
    </w:lvl>
    <w:lvl w:ilvl="6">
      <w:numFmt w:val="bullet"/>
      <w:lvlText w:val="o"/>
      <w:start w:val="0"/>
      <w:lvlJc w:val="left"/>
      <w:pPr>
        <w:ind w:left="4680"/>
        <w:ind w:hanging="360"/>
      </w:pPr>
      <w:rPr>
        <w:rFonts w:ascii="Courier New" w:hAnsi="Courier New"/>
      </w:rPr>
    </w:lvl>
    <w:lvl w:ilvl="7">
      <w:numFmt w:val="bullet"/>
      <w:lvlText w:val=""/>
      <w:start w:val="0"/>
      <w:lvlJc w:val="left"/>
      <w:pPr>
        <w:ind w:left="5400"/>
        <w:ind w:hanging="360"/>
      </w:pPr>
      <w:rPr>
        <w:rFonts w:ascii="Wingdings" w:hAnsi="Wingdings"/>
      </w:rPr>
    </w:lvl>
    <w:lvl w:ilvl="8">
      <w:numFmt w:val="bullet"/>
      <w:lvlText w:val="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199707225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386177416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4294967069">
    <w:abstractNumId w:val="4294967069"/>
  </w:num>
  <w:num w:numId="1199707225">
    <w:abstractNumId w:val="1199707225"/>
  </w:num>
  <w:num w:numId="1386177416">
    <w:abstractNumId w:val="138617741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Обычный"/>
    <w:qFormat/>
    <w:pPr/>
    <w:rPr/>
  </w:style>
  <w:style w:type="character" w:styleId="">
    <w:name w:val="Основной шрифт абзаца"/>
    <w:qFormat/>
  </w:style>
  <w:style w:type="table" w:styleId="">
    <w:name w:val="Обычная таблица"/>
    <w:qFormat/>
    <w:pPr/>
  </w:style>
  <w:style w:type="numbering" w:styleId="">
    <w:name w:val="Нет списка"/>
    <w:qFormat/>
  </w:style>
  <w:style w:type="paragraph" w:styleId="">
    <w:name w:val="Название"/>
    <w:qFormat/>
    <w:basedOn w:val="Обычный"/>
    <w:pPr>
      <w:jc w:val="center"/>
    </w:pPr>
    <w:rPr>
      <w:b/>
      <w:sz w:val="24"/>
    </w:rPr>
  </w:style>
  <w:style w:type="character" w:styleId="">
    <w:name w:val="Гиперссылка"/>
    <w:qFormat/>
    <w:rPr>
      <w:u w:val="single"/>
      <w:color w:val="0000FF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